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67E60" w14:textId="77777777" w:rsidR="000D170C" w:rsidRDefault="007F43EA">
      <w:pPr>
        <w:rPr>
          <w:noProof/>
        </w:rPr>
      </w:pPr>
      <w:r>
        <w:rPr>
          <w:noProof/>
        </w:rPr>
        <w:drawing>
          <wp:inline distT="0" distB="0" distL="0" distR="0" wp14:anchorId="6F88BAE3" wp14:editId="6B7688E1">
            <wp:extent cx="2400300" cy="533400"/>
            <wp:effectExtent l="0" t="0" r="0" b="0"/>
            <wp:docPr id="4" name="Picture 4" descr="https://d3b5g5w8iutjdd.cloudfront.net/images/Logo@2x.png?33dc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b5g5w8iutjdd.cloudfront.net/images/Logo@2x.png?33dc6f"/>
                    <pic:cNvPicPr>
                      <a:picLocks noChangeAspect="1" noChangeArrowheads="1"/>
                    </pic:cNvPicPr>
                  </pic:nvPicPr>
                  <pic:blipFill>
                    <a:blip r:embed="rId5"/>
                    <a:srcRect/>
                    <a:stretch>
                      <a:fillRect/>
                    </a:stretch>
                  </pic:blipFill>
                  <pic:spPr bwMode="auto">
                    <a:xfrm>
                      <a:off x="0" y="0"/>
                      <a:ext cx="2400300" cy="533400"/>
                    </a:xfrm>
                    <a:prstGeom prst="rect">
                      <a:avLst/>
                    </a:prstGeom>
                    <a:noFill/>
                    <a:ln w="9525">
                      <a:noFill/>
                      <a:miter lim="800000"/>
                      <a:headEnd/>
                      <a:tailEnd/>
                    </a:ln>
                  </pic:spPr>
                </pic:pic>
              </a:graphicData>
            </a:graphic>
          </wp:inline>
        </w:drawing>
      </w:r>
      <w:r w:rsidR="000D170C">
        <w:rPr>
          <w:noProof/>
        </w:rPr>
        <w:t xml:space="preserve">   </w:t>
      </w:r>
      <w:r w:rsidR="005C1F74" w:rsidRPr="005C1F74">
        <w:t xml:space="preserve"> </w:t>
      </w:r>
      <w:r w:rsidR="005C1F74">
        <w:rPr>
          <w:noProof/>
        </w:rPr>
        <w:drawing>
          <wp:inline distT="0" distB="0" distL="0" distR="0" wp14:anchorId="3D6E1E98" wp14:editId="449874A0">
            <wp:extent cx="1428750" cy="775128"/>
            <wp:effectExtent l="19050" t="0" r="0" b="0"/>
            <wp:docPr id="17" name="Picture 17" descr="http://www.prwatch.org/files/images/tea_party_n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watch.org/files/images/tea_party_nation_logo.jpg"/>
                    <pic:cNvPicPr>
                      <a:picLocks noChangeAspect="1" noChangeArrowheads="1"/>
                    </pic:cNvPicPr>
                  </pic:nvPicPr>
                  <pic:blipFill>
                    <a:blip r:embed="rId6"/>
                    <a:srcRect/>
                    <a:stretch>
                      <a:fillRect/>
                    </a:stretch>
                  </pic:blipFill>
                  <pic:spPr bwMode="auto">
                    <a:xfrm>
                      <a:off x="0" y="0"/>
                      <a:ext cx="1428750" cy="775128"/>
                    </a:xfrm>
                    <a:prstGeom prst="rect">
                      <a:avLst/>
                    </a:prstGeom>
                    <a:noFill/>
                    <a:ln w="9525">
                      <a:noFill/>
                      <a:miter lim="800000"/>
                      <a:headEnd/>
                      <a:tailEnd/>
                    </a:ln>
                  </pic:spPr>
                </pic:pic>
              </a:graphicData>
            </a:graphic>
          </wp:inline>
        </w:drawing>
      </w:r>
    </w:p>
    <w:p w14:paraId="01DB1A19" w14:textId="77777777" w:rsidR="000D170C" w:rsidRDefault="000D170C">
      <w:pPr>
        <w:rPr>
          <w:noProof/>
        </w:rPr>
      </w:pPr>
    </w:p>
    <w:p w14:paraId="4D84CFCD" w14:textId="77777777" w:rsidR="005C1F74" w:rsidRDefault="007F43EA">
      <w:r>
        <w:rPr>
          <w:noProof/>
        </w:rPr>
        <w:drawing>
          <wp:inline distT="0" distB="0" distL="0" distR="0" wp14:anchorId="27BEFBF0" wp14:editId="64D3E98C">
            <wp:extent cx="2286000" cy="428625"/>
            <wp:effectExtent l="19050" t="0" r="0" b="0"/>
            <wp:docPr id="1" name="Picture 1" descr="http://192.254.142.91/~lessgov/wp-content/uploads/2014/01/LG_960_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254.142.91/~lessgov/wp-content/uploads/2014/01/LG_960_banner2.png"/>
                    <pic:cNvPicPr>
                      <a:picLocks noChangeAspect="1" noChangeArrowheads="1"/>
                    </pic:cNvPicPr>
                  </pic:nvPicPr>
                  <pic:blipFill>
                    <a:blip r:embed="rId7"/>
                    <a:srcRect/>
                    <a:stretch>
                      <a:fillRect/>
                    </a:stretch>
                  </pic:blipFill>
                  <pic:spPr bwMode="auto">
                    <a:xfrm>
                      <a:off x="0" y="0"/>
                      <a:ext cx="2286000" cy="428625"/>
                    </a:xfrm>
                    <a:prstGeom prst="rect">
                      <a:avLst/>
                    </a:prstGeom>
                    <a:noFill/>
                    <a:ln w="9525">
                      <a:noFill/>
                      <a:miter lim="800000"/>
                      <a:headEnd/>
                      <a:tailEnd/>
                    </a:ln>
                  </pic:spPr>
                </pic:pic>
              </a:graphicData>
            </a:graphic>
          </wp:inline>
        </w:drawing>
      </w:r>
      <w:r w:rsidR="00230FEC" w:rsidRPr="00230FEC">
        <w:t xml:space="preserve"> </w:t>
      </w:r>
      <w:r w:rsidR="00230FEC">
        <w:rPr>
          <w:noProof/>
        </w:rPr>
        <w:drawing>
          <wp:inline distT="0" distB="0" distL="0" distR="0" wp14:anchorId="30B38504" wp14:editId="7202A62B">
            <wp:extent cx="1399803" cy="895350"/>
            <wp:effectExtent l="19050" t="0" r="0" b="0"/>
            <wp:docPr id="16" name="Picture 16" descr="C:\Users\Rellis\Desktop\MI-logo-text-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ellis\Desktop\MI-logo-text-White background.png"/>
                    <pic:cNvPicPr>
                      <a:picLocks noChangeAspect="1" noChangeArrowheads="1"/>
                    </pic:cNvPicPr>
                  </pic:nvPicPr>
                  <pic:blipFill>
                    <a:blip r:embed="rId8"/>
                    <a:srcRect/>
                    <a:stretch>
                      <a:fillRect/>
                    </a:stretch>
                  </pic:blipFill>
                  <pic:spPr bwMode="auto">
                    <a:xfrm>
                      <a:off x="0" y="0"/>
                      <a:ext cx="1401417" cy="896382"/>
                    </a:xfrm>
                    <a:prstGeom prst="rect">
                      <a:avLst/>
                    </a:prstGeom>
                    <a:noFill/>
                    <a:ln w="9525">
                      <a:noFill/>
                      <a:miter lim="800000"/>
                      <a:headEnd/>
                      <a:tailEnd/>
                    </a:ln>
                  </pic:spPr>
                </pic:pic>
              </a:graphicData>
            </a:graphic>
          </wp:inline>
        </w:drawing>
      </w:r>
      <w:r w:rsidR="005C1F74" w:rsidRPr="005C1F74">
        <w:t xml:space="preserve"> </w:t>
      </w:r>
      <w:r w:rsidR="005C1F74">
        <w:rPr>
          <w:noProof/>
        </w:rPr>
        <w:drawing>
          <wp:inline distT="0" distB="0" distL="0" distR="0" wp14:anchorId="6AADB6E8" wp14:editId="254EC2B7">
            <wp:extent cx="971550" cy="971550"/>
            <wp:effectExtent l="19050" t="0" r="0" b="0"/>
            <wp:docPr id="5" name="Picture 7" descr="http://bolderadvocacy.org/wp-content/uploads/2012/10/HLF-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lderadvocacy.org/wp-content/uploads/2012/10/HLF-300x300.jpg"/>
                    <pic:cNvPicPr>
                      <a:picLocks noChangeAspect="1" noChangeArrowheads="1"/>
                    </pic:cNvPicPr>
                  </pic:nvPicPr>
                  <pic:blipFill>
                    <a:blip r:embed="rId9"/>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14:paraId="7B24D772" w14:textId="77777777" w:rsidR="005C1F74" w:rsidRDefault="005C1F74"/>
    <w:p w14:paraId="4F6A1771" w14:textId="77777777" w:rsidR="005B71AE" w:rsidRDefault="005C1F74">
      <w:r>
        <w:rPr>
          <w:noProof/>
        </w:rPr>
        <w:drawing>
          <wp:inline distT="0" distB="0" distL="0" distR="0" wp14:anchorId="5990B78D" wp14:editId="1FDE8A98">
            <wp:extent cx="2286000" cy="380505"/>
            <wp:effectExtent l="19050" t="0" r="0" b="0"/>
            <wp:docPr id="20" name="Picture 20" descr="http://www.cmrlink.org/content/components/siteplan/articles/images/33926_logo_780x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mrlink.org/content/components/siteplan/articles/images/33926_logo_780x154.png"/>
                    <pic:cNvPicPr>
                      <a:picLocks noChangeAspect="1" noChangeArrowheads="1"/>
                    </pic:cNvPicPr>
                  </pic:nvPicPr>
                  <pic:blipFill>
                    <a:blip r:embed="rId10"/>
                    <a:srcRect/>
                    <a:stretch>
                      <a:fillRect/>
                    </a:stretch>
                  </pic:blipFill>
                  <pic:spPr bwMode="auto">
                    <a:xfrm>
                      <a:off x="0" y="0"/>
                      <a:ext cx="2286000" cy="380505"/>
                    </a:xfrm>
                    <a:prstGeom prst="rect">
                      <a:avLst/>
                    </a:prstGeom>
                    <a:noFill/>
                    <a:ln w="9525">
                      <a:noFill/>
                      <a:miter lim="800000"/>
                      <a:headEnd/>
                      <a:tailEnd/>
                    </a:ln>
                  </pic:spPr>
                </pic:pic>
              </a:graphicData>
            </a:graphic>
          </wp:inline>
        </w:drawing>
      </w:r>
      <w:r>
        <w:t xml:space="preserve">  </w:t>
      </w:r>
      <w:r>
        <w:rPr>
          <w:noProof/>
        </w:rPr>
        <w:drawing>
          <wp:inline distT="0" distB="0" distL="0" distR="0" wp14:anchorId="3777B20D" wp14:editId="05F6657B">
            <wp:extent cx="2647950" cy="481445"/>
            <wp:effectExtent l="19050" t="0" r="0" b="0"/>
            <wp:docPr id="23" name="Picture 23" descr="http://mdtaxes.org/wp-content/uploads/2014/09/cropped-f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dtaxes.org/wp-content/uploads/2014/09/cropped-fw2.jpg"/>
                    <pic:cNvPicPr>
                      <a:picLocks noChangeAspect="1" noChangeArrowheads="1"/>
                    </pic:cNvPicPr>
                  </pic:nvPicPr>
                  <pic:blipFill>
                    <a:blip r:embed="rId11"/>
                    <a:srcRect/>
                    <a:stretch>
                      <a:fillRect/>
                    </a:stretch>
                  </pic:blipFill>
                  <pic:spPr bwMode="auto">
                    <a:xfrm>
                      <a:off x="0" y="0"/>
                      <a:ext cx="2647950" cy="481445"/>
                    </a:xfrm>
                    <a:prstGeom prst="rect">
                      <a:avLst/>
                    </a:prstGeom>
                    <a:noFill/>
                    <a:ln w="9525">
                      <a:noFill/>
                      <a:miter lim="800000"/>
                      <a:headEnd/>
                      <a:tailEnd/>
                    </a:ln>
                  </pic:spPr>
                </pic:pic>
              </a:graphicData>
            </a:graphic>
          </wp:inline>
        </w:drawing>
      </w:r>
    </w:p>
    <w:p w14:paraId="34121A9A" w14:textId="77777777" w:rsidR="007F43EA" w:rsidRDefault="007F43EA"/>
    <w:p w14:paraId="3593438A" w14:textId="77777777" w:rsidR="00230FEC" w:rsidRDefault="00230FEC"/>
    <w:p w14:paraId="6D92C472" w14:textId="77777777" w:rsidR="00A54EFB" w:rsidRDefault="00A54EFB"/>
    <w:p w14:paraId="328735E9" w14:textId="77777777" w:rsidR="00A54EFB" w:rsidRDefault="00A54EFB"/>
    <w:p w14:paraId="082C0616" w14:textId="77777777" w:rsidR="00C1649D" w:rsidRDefault="00C1649D">
      <w:r>
        <w:t>May 1</w:t>
      </w:r>
      <w:r w:rsidR="007946DB">
        <w:t>6</w:t>
      </w:r>
      <w:r>
        <w:t>, 2016</w:t>
      </w:r>
    </w:p>
    <w:p w14:paraId="1BF236B0" w14:textId="77777777" w:rsidR="00116513" w:rsidRDefault="00116513"/>
    <w:p w14:paraId="3628B65C" w14:textId="77777777" w:rsidR="00116513" w:rsidRDefault="00116513">
      <w:r>
        <w:t>The Honorable Mac Thornberry</w:t>
      </w:r>
      <w:r>
        <w:tab/>
      </w:r>
      <w:r>
        <w:tab/>
      </w:r>
      <w:r>
        <w:tab/>
        <w:t>The Honorable John McCain</w:t>
      </w:r>
    </w:p>
    <w:p w14:paraId="52E8B8A5" w14:textId="77777777" w:rsidR="00116513" w:rsidRDefault="00116513">
      <w:r>
        <w:t>Committee on Armed Services</w:t>
      </w:r>
      <w:r>
        <w:tab/>
      </w:r>
      <w:r>
        <w:tab/>
      </w:r>
      <w:r>
        <w:tab/>
        <w:t>Committee on Armed Services</w:t>
      </w:r>
    </w:p>
    <w:p w14:paraId="450067E2" w14:textId="77777777" w:rsidR="00116513" w:rsidRDefault="00116513">
      <w:r>
        <w:t>U.S. House of Representatives</w:t>
      </w:r>
      <w:r>
        <w:tab/>
      </w:r>
      <w:r>
        <w:tab/>
      </w:r>
      <w:r>
        <w:tab/>
        <w:t>United States Senate</w:t>
      </w:r>
    </w:p>
    <w:p w14:paraId="3B9E300E" w14:textId="77777777" w:rsidR="00A54EFB" w:rsidRDefault="00116513">
      <w:r>
        <w:t>Washington, DC 20515</w:t>
      </w:r>
      <w:r>
        <w:tab/>
      </w:r>
      <w:r>
        <w:tab/>
      </w:r>
      <w:r>
        <w:tab/>
      </w:r>
      <w:r>
        <w:tab/>
        <w:t>Washington, DC 20510</w:t>
      </w:r>
    </w:p>
    <w:p w14:paraId="3EA65297" w14:textId="77777777" w:rsidR="00116513" w:rsidRDefault="00116513"/>
    <w:p w14:paraId="0DBB4BF7" w14:textId="77777777" w:rsidR="00116513" w:rsidRDefault="00116513" w:rsidP="00116513">
      <w:r>
        <w:t>The Honorable Adam Smith</w:t>
      </w:r>
      <w:r>
        <w:tab/>
      </w:r>
      <w:r>
        <w:tab/>
      </w:r>
      <w:r>
        <w:tab/>
      </w:r>
      <w:r>
        <w:tab/>
        <w:t>The Honorable Jack Reed</w:t>
      </w:r>
    </w:p>
    <w:p w14:paraId="655E05CA" w14:textId="77777777" w:rsidR="00116513" w:rsidRDefault="00116513" w:rsidP="00116513">
      <w:r>
        <w:t>Committee on Armed Services</w:t>
      </w:r>
      <w:r>
        <w:tab/>
      </w:r>
      <w:r>
        <w:tab/>
      </w:r>
      <w:r>
        <w:tab/>
        <w:t>Committee on Armed Services</w:t>
      </w:r>
    </w:p>
    <w:p w14:paraId="63110606" w14:textId="77777777" w:rsidR="00116513" w:rsidRDefault="00116513" w:rsidP="00116513">
      <w:r>
        <w:t>U.S. House of Representatives</w:t>
      </w:r>
      <w:r>
        <w:tab/>
      </w:r>
      <w:r>
        <w:tab/>
      </w:r>
      <w:r>
        <w:tab/>
        <w:t>United States Senate</w:t>
      </w:r>
    </w:p>
    <w:p w14:paraId="1F2106BF" w14:textId="77777777" w:rsidR="00116513" w:rsidRDefault="00116513">
      <w:r>
        <w:t>Washington, DC 20515</w:t>
      </w:r>
      <w:r>
        <w:tab/>
      </w:r>
      <w:r>
        <w:tab/>
      </w:r>
      <w:r>
        <w:tab/>
      </w:r>
      <w:r>
        <w:tab/>
        <w:t>Washington, DC 20510</w:t>
      </w:r>
    </w:p>
    <w:p w14:paraId="510C9CCF" w14:textId="77777777" w:rsidR="00116513" w:rsidRDefault="00116513"/>
    <w:p w14:paraId="6BE89FB7" w14:textId="77777777" w:rsidR="00116513" w:rsidRDefault="00116513"/>
    <w:p w14:paraId="56442C9C" w14:textId="77777777" w:rsidR="00116513" w:rsidRDefault="00116513">
      <w:r>
        <w:t>cc: Members of the House Committee on Armed Services</w:t>
      </w:r>
    </w:p>
    <w:p w14:paraId="107043B4" w14:textId="77777777" w:rsidR="00116513" w:rsidRDefault="00116513">
      <w:r>
        <w:t>cc: Members of the Senate Committee on Armed Services</w:t>
      </w:r>
    </w:p>
    <w:p w14:paraId="3DE1FA80" w14:textId="77777777" w:rsidR="0028424D" w:rsidRDefault="0028424D"/>
    <w:p w14:paraId="2153DD7D" w14:textId="77777777" w:rsidR="0028424D" w:rsidRDefault="0028424D">
      <w:r>
        <w:t>cc: United States House of Representatives</w:t>
      </w:r>
    </w:p>
    <w:p w14:paraId="2964C7D9" w14:textId="77777777" w:rsidR="0028424D" w:rsidRDefault="0028424D">
      <w:r>
        <w:t>cc: United States Senate</w:t>
      </w:r>
    </w:p>
    <w:p w14:paraId="1A539598" w14:textId="77777777" w:rsidR="00116513" w:rsidRDefault="00116513"/>
    <w:p w14:paraId="139E9FD2" w14:textId="77777777" w:rsidR="00116513" w:rsidRDefault="00116513"/>
    <w:p w14:paraId="4765E639" w14:textId="77777777" w:rsidR="00A54EFB" w:rsidRDefault="00116513">
      <w:r>
        <w:t>Chairman Thornberry, Chairman McCain, Ranking Member Smith, and Ranking Member Reed</w:t>
      </w:r>
      <w:r w:rsidR="007F43EA">
        <w:t>:</w:t>
      </w:r>
    </w:p>
    <w:p w14:paraId="2B3DF59F" w14:textId="77777777" w:rsidR="007F43EA" w:rsidRDefault="007F43EA"/>
    <w:p w14:paraId="0304913C" w14:textId="77777777" w:rsidR="007946DB" w:rsidRDefault="007946DB" w:rsidP="007946DB">
      <w:r>
        <w:t>Despite costing American taxpayers over $2 billion more than needed (and willfully rejecting the requests made by not only the House Armed Services Committee but also by high-ranking officials in the Department of Defense and in the Intelligence community), the Senate Armed Services Committee--led by Senator John</w:t>
      </w:r>
    </w:p>
    <w:p w14:paraId="61444E50" w14:textId="77777777" w:rsidR="0046272F" w:rsidRDefault="007946DB" w:rsidP="007946DB">
      <w:r>
        <w:lastRenderedPageBreak/>
        <w:t>McCain--is seeking to cripple America’s ability to reliably launch some of the country’s most important defense satellites used to secure our nation’s border and track terrorists and drug cartels. Senator McCain’s actions undermine our national security and are the antithesis of good fiscal governance.</w:t>
      </w:r>
      <w:r>
        <w:br/>
      </w:r>
    </w:p>
    <w:p w14:paraId="147D30A7" w14:textId="77777777" w:rsidR="005D3E72" w:rsidRDefault="005D3E72">
      <w:r>
        <w:t>America depends on a network of highly sophisticated military satellites to serve as the “eyes in the sky” keeping the Pentagon and our intelligence agencies in</w:t>
      </w:r>
      <w:r w:rsidR="00F149D8">
        <w:t>formed about threats from ISIS</w:t>
      </w:r>
      <w:r w:rsidR="007946DB">
        <w:t>, drug smugglers trying to penetrate our borders,</w:t>
      </w:r>
      <w:r w:rsidR="00F149D8">
        <w:t xml:space="preserve"> </w:t>
      </w:r>
      <w:r>
        <w:t>and other matters of vital national security</w:t>
      </w:r>
      <w:r w:rsidR="0040734A">
        <w:t xml:space="preserve">. </w:t>
      </w:r>
    </w:p>
    <w:p w14:paraId="21C03C21" w14:textId="77777777" w:rsidR="005D3E72" w:rsidRDefault="005D3E72"/>
    <w:p w14:paraId="66CF8013" w14:textId="77777777" w:rsidR="00A54EFB" w:rsidRDefault="005D3E72">
      <w:r>
        <w:t xml:space="preserve">In order to launch </w:t>
      </w:r>
      <w:r w:rsidR="0040734A">
        <w:t>those</w:t>
      </w:r>
      <w:r>
        <w:t xml:space="preserve"> military and spy satellites into space</w:t>
      </w:r>
      <w:r w:rsidR="0040734A">
        <w:t xml:space="preserve">, the Pentagon </w:t>
      </w:r>
      <w:r w:rsidR="00882B72">
        <w:t>needs a reliable launch rocket capable of carrying the heaviest payloads and reaching the ‘high orbits’ where many of those sate</w:t>
      </w:r>
      <w:r w:rsidR="00E20260">
        <w:t xml:space="preserve">llites must be deployed. </w:t>
      </w:r>
      <w:r w:rsidR="007E6CA8">
        <w:t>Currently, only one rocket in the space fleet is capable of carrying those heavy payloads and reaching the highest orbits, and unfortunately, though the rocket is built in America, it uses an engine core made in Russia. It’s called the Atlas rocket, and its new American-made engine won’t be ready for three more years.</w:t>
      </w:r>
    </w:p>
    <w:p w14:paraId="41713AAF" w14:textId="77777777" w:rsidR="00116513" w:rsidRDefault="00116513"/>
    <w:p w14:paraId="2FE526FD" w14:textId="77777777" w:rsidR="0051128C" w:rsidRDefault="007E6CA8">
      <w:r>
        <w:t xml:space="preserve">Senator McCain is trying to ban any more engines for the rocket, meaning it cannot be used during those three years while the American engine is being completed. But our generals and the leaders of America’s intelligence agencies say the nation cannot take a three-year break from launching new satellites. Terrorists intent on harming Americans won’t be taking a break. </w:t>
      </w:r>
      <w:r w:rsidR="007946DB">
        <w:t xml:space="preserve">Neither will </w:t>
      </w:r>
      <w:r w:rsidR="005C1F74">
        <w:t>international</w:t>
      </w:r>
      <w:r w:rsidR="007946DB">
        <w:t xml:space="preserve"> drug traffickers.</w:t>
      </w:r>
    </w:p>
    <w:p w14:paraId="05158278" w14:textId="77777777" w:rsidR="00F149D8" w:rsidRDefault="00F149D8"/>
    <w:p w14:paraId="253ADECE" w14:textId="77777777" w:rsidR="0051128C" w:rsidRDefault="00460C0D">
      <w:r w:rsidRPr="00460C0D">
        <w:t>Under Secretary of Defense for Acquisition, Technology, and Logistics Frank Kendall</w:t>
      </w:r>
      <w:r>
        <w:t xml:space="preserve"> </w:t>
      </w:r>
      <w:bookmarkStart w:id="0" w:name="_GoBack"/>
      <w:bookmarkEnd w:id="0"/>
      <w:r w:rsidR="0051128C">
        <w:t>recently wrote Congress that attempting to use the Delta rocket and Falcon 9 as stopgap methods for that three-year period could cost taxpayers an additional $1 billion to $5 billion, or more.</w:t>
      </w:r>
    </w:p>
    <w:p w14:paraId="5E825AED" w14:textId="77777777" w:rsidR="005B14B9" w:rsidRDefault="005B14B9"/>
    <w:p w14:paraId="49E72AFC" w14:textId="77777777" w:rsidR="005B14B9" w:rsidRDefault="005B14B9">
      <w:r>
        <w:t>Senator McCain’s effort is not the right solution. It endangers U.S. security and increases costs to taxpayers. It should be rejected.</w:t>
      </w:r>
    </w:p>
    <w:p w14:paraId="4468ED2C" w14:textId="77777777" w:rsidR="007F43EA" w:rsidRDefault="007F43EA"/>
    <w:p w14:paraId="085F92D8" w14:textId="77777777" w:rsidR="007F43EA" w:rsidRDefault="007F43EA">
      <w:r>
        <w:t>Sincerely</w:t>
      </w:r>
      <w:r w:rsidR="00230FEC">
        <w:t>,</w:t>
      </w:r>
    </w:p>
    <w:p w14:paraId="5591247C" w14:textId="77777777" w:rsidR="00230FEC" w:rsidRDefault="00230FEC"/>
    <w:p w14:paraId="3C3195D8" w14:textId="77777777" w:rsidR="007F43EA" w:rsidRDefault="007F43EA"/>
    <w:p w14:paraId="554E4F6B" w14:textId="77777777" w:rsidR="007F43EA" w:rsidRDefault="007F43EA">
      <w:r>
        <w:t>Jenny Beth Martin</w:t>
      </w:r>
      <w:r>
        <w:tab/>
      </w:r>
      <w:r>
        <w:tab/>
      </w:r>
      <w:r>
        <w:tab/>
      </w:r>
      <w:r>
        <w:tab/>
      </w:r>
      <w:r>
        <w:tab/>
        <w:t>Mario Lopez</w:t>
      </w:r>
    </w:p>
    <w:p w14:paraId="38498E71" w14:textId="77777777" w:rsidR="007F43EA" w:rsidRDefault="007F43EA">
      <w:pPr>
        <w:rPr>
          <w:b/>
        </w:rPr>
      </w:pPr>
      <w:r>
        <w:rPr>
          <w:b/>
        </w:rPr>
        <w:t>Tea Party Patriots</w:t>
      </w:r>
      <w:r>
        <w:rPr>
          <w:b/>
        </w:rPr>
        <w:tab/>
      </w:r>
      <w:r>
        <w:rPr>
          <w:b/>
        </w:rPr>
        <w:tab/>
      </w:r>
      <w:r>
        <w:rPr>
          <w:b/>
        </w:rPr>
        <w:tab/>
      </w:r>
      <w:r>
        <w:rPr>
          <w:b/>
        </w:rPr>
        <w:tab/>
      </w:r>
      <w:r>
        <w:rPr>
          <w:b/>
        </w:rPr>
        <w:tab/>
        <w:t>Hispanic Leadership Fund</w:t>
      </w:r>
    </w:p>
    <w:p w14:paraId="78EA6555" w14:textId="77777777" w:rsidR="007F43EA" w:rsidRDefault="007F43EA">
      <w:pPr>
        <w:rPr>
          <w:b/>
        </w:rPr>
      </w:pPr>
    </w:p>
    <w:p w14:paraId="533E5761" w14:textId="77777777" w:rsidR="00230FEC" w:rsidRDefault="007F43EA">
      <w:r>
        <w:t>Seton Motley</w:t>
      </w:r>
      <w:r>
        <w:tab/>
      </w:r>
      <w:r w:rsidR="00230FEC">
        <w:tab/>
      </w:r>
      <w:r w:rsidR="00230FEC">
        <w:tab/>
      </w:r>
      <w:r w:rsidR="00230FEC">
        <w:tab/>
      </w:r>
      <w:r w:rsidR="00230FEC">
        <w:tab/>
      </w:r>
      <w:r w:rsidR="00230FEC">
        <w:tab/>
      </w:r>
      <w:r w:rsidR="007946DB">
        <w:t>Charles Sauer</w:t>
      </w:r>
    </w:p>
    <w:p w14:paraId="19AAF47D" w14:textId="77777777" w:rsidR="00230FEC" w:rsidRDefault="00230FEC">
      <w:r>
        <w:rPr>
          <w:b/>
        </w:rPr>
        <w:t>Less Government</w:t>
      </w:r>
      <w:r>
        <w:rPr>
          <w:b/>
        </w:rPr>
        <w:tab/>
      </w:r>
      <w:r>
        <w:rPr>
          <w:b/>
        </w:rPr>
        <w:tab/>
      </w:r>
      <w:r>
        <w:rPr>
          <w:b/>
        </w:rPr>
        <w:tab/>
      </w:r>
      <w:r>
        <w:rPr>
          <w:b/>
        </w:rPr>
        <w:tab/>
      </w:r>
      <w:r>
        <w:rPr>
          <w:b/>
        </w:rPr>
        <w:tab/>
      </w:r>
      <w:r w:rsidR="007946DB">
        <w:rPr>
          <w:b/>
        </w:rPr>
        <w:t>The Market Institute</w:t>
      </w:r>
      <w:r w:rsidR="007F43EA">
        <w:tab/>
      </w:r>
    </w:p>
    <w:p w14:paraId="4E72277E" w14:textId="77777777" w:rsidR="00230FEC" w:rsidRDefault="00230FEC"/>
    <w:p w14:paraId="0C61DC93" w14:textId="77777777" w:rsidR="007F43EA" w:rsidRDefault="007946DB">
      <w:r>
        <w:t>Judson Phillips</w:t>
      </w:r>
      <w:r w:rsidR="00287E01">
        <w:tab/>
      </w:r>
      <w:r w:rsidR="00287E01">
        <w:tab/>
      </w:r>
      <w:r w:rsidR="00287E01">
        <w:tab/>
      </w:r>
      <w:r w:rsidR="00287E01">
        <w:tab/>
      </w:r>
      <w:r w:rsidR="00287E01">
        <w:tab/>
        <w:t>Elaine Donnelly</w:t>
      </w:r>
    </w:p>
    <w:p w14:paraId="2157B80A" w14:textId="77777777" w:rsidR="007F43EA" w:rsidRDefault="007946DB">
      <w:pPr>
        <w:rPr>
          <w:b/>
        </w:rPr>
      </w:pPr>
      <w:r>
        <w:rPr>
          <w:b/>
        </w:rPr>
        <w:t>Tea Party Nation</w:t>
      </w:r>
      <w:r w:rsidR="00287E01">
        <w:rPr>
          <w:b/>
        </w:rPr>
        <w:tab/>
      </w:r>
      <w:r w:rsidR="00287E01">
        <w:rPr>
          <w:b/>
        </w:rPr>
        <w:tab/>
      </w:r>
      <w:r w:rsidR="00287E01">
        <w:rPr>
          <w:b/>
        </w:rPr>
        <w:tab/>
      </w:r>
      <w:r w:rsidR="00287E01">
        <w:rPr>
          <w:b/>
        </w:rPr>
        <w:tab/>
      </w:r>
      <w:r>
        <w:rPr>
          <w:b/>
        </w:rPr>
        <w:tab/>
      </w:r>
      <w:r w:rsidR="00287E01">
        <w:rPr>
          <w:b/>
        </w:rPr>
        <w:t>Center for Military Readiness</w:t>
      </w:r>
    </w:p>
    <w:p w14:paraId="3D3C19CC" w14:textId="77777777" w:rsidR="00287E01" w:rsidRDefault="00287E01">
      <w:pPr>
        <w:rPr>
          <w:b/>
        </w:rPr>
      </w:pPr>
    </w:p>
    <w:p w14:paraId="45B6697F" w14:textId="77777777" w:rsidR="00287E01" w:rsidRDefault="007946DB">
      <w:r>
        <w:t>Dee Hodges</w:t>
      </w:r>
      <w:r>
        <w:tab/>
      </w:r>
      <w:r w:rsidR="0067116B">
        <w:tab/>
      </w:r>
      <w:r w:rsidR="0067116B">
        <w:tab/>
      </w:r>
      <w:r w:rsidR="0067116B">
        <w:tab/>
      </w:r>
      <w:r w:rsidR="0067116B">
        <w:tab/>
      </w:r>
      <w:r w:rsidR="0067116B">
        <w:tab/>
      </w:r>
    </w:p>
    <w:p w14:paraId="01FA046F" w14:textId="77777777" w:rsidR="005B71AE" w:rsidRDefault="007946DB">
      <w:r>
        <w:rPr>
          <w:b/>
        </w:rPr>
        <w:lastRenderedPageBreak/>
        <w:t>Maryland Taxpayer Association</w:t>
      </w:r>
      <w:r w:rsidR="0067116B">
        <w:rPr>
          <w:b/>
        </w:rPr>
        <w:tab/>
      </w:r>
    </w:p>
    <w:sectPr w:rsidR="005B71AE" w:rsidSect="007452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AE"/>
    <w:rsid w:val="000D170C"/>
    <w:rsid w:val="00116513"/>
    <w:rsid w:val="00230FEC"/>
    <w:rsid w:val="0028424D"/>
    <w:rsid w:val="00287E01"/>
    <w:rsid w:val="003340A8"/>
    <w:rsid w:val="0040734A"/>
    <w:rsid w:val="00460C0D"/>
    <w:rsid w:val="0046272F"/>
    <w:rsid w:val="0051128C"/>
    <w:rsid w:val="005670F2"/>
    <w:rsid w:val="005B14B9"/>
    <w:rsid w:val="005B71AE"/>
    <w:rsid w:val="005C1F74"/>
    <w:rsid w:val="005D3E72"/>
    <w:rsid w:val="0067116B"/>
    <w:rsid w:val="006F009D"/>
    <w:rsid w:val="00741EF1"/>
    <w:rsid w:val="007452A4"/>
    <w:rsid w:val="007946DB"/>
    <w:rsid w:val="007C5390"/>
    <w:rsid w:val="007E6CA8"/>
    <w:rsid w:val="007F43EA"/>
    <w:rsid w:val="00882B72"/>
    <w:rsid w:val="008A6E7D"/>
    <w:rsid w:val="008D1DDF"/>
    <w:rsid w:val="00A54EFB"/>
    <w:rsid w:val="00C1649D"/>
    <w:rsid w:val="00E20260"/>
    <w:rsid w:val="00F1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9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3EA"/>
    <w:rPr>
      <w:rFonts w:ascii="Tahoma" w:hAnsi="Tahoma" w:cs="Tahoma"/>
      <w:sz w:val="16"/>
      <w:szCs w:val="16"/>
    </w:rPr>
  </w:style>
  <w:style w:type="character" w:customStyle="1" w:styleId="BalloonTextChar">
    <w:name w:val="Balloon Text Char"/>
    <w:basedOn w:val="DefaultParagraphFont"/>
    <w:link w:val="BalloonText"/>
    <w:uiPriority w:val="99"/>
    <w:semiHidden/>
    <w:rsid w:val="007F43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3EA"/>
    <w:rPr>
      <w:rFonts w:ascii="Tahoma" w:hAnsi="Tahoma" w:cs="Tahoma"/>
      <w:sz w:val="16"/>
      <w:szCs w:val="16"/>
    </w:rPr>
  </w:style>
  <w:style w:type="character" w:customStyle="1" w:styleId="BalloonTextChar">
    <w:name w:val="Balloon Text Char"/>
    <w:basedOn w:val="DefaultParagraphFont"/>
    <w:link w:val="BalloonText"/>
    <w:uiPriority w:val="99"/>
    <w:semiHidden/>
    <w:rsid w:val="007F4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Seton Motley</cp:lastModifiedBy>
  <cp:revision>3</cp:revision>
  <cp:lastPrinted>2016-05-16T15:19:00Z</cp:lastPrinted>
  <dcterms:created xsi:type="dcterms:W3CDTF">2016-05-16T16:08:00Z</dcterms:created>
  <dcterms:modified xsi:type="dcterms:W3CDTF">2016-05-17T11:27:00Z</dcterms:modified>
</cp:coreProperties>
</file>